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34 vom 8. Juli 2021</w:t>
      </w:r>
    </w:p>
    <w:p>
      <w:r>
        <w:t>VS Kantonsgericht, 2021-07-08, DE</w:t>
      </w:r>
    </w:p>
    <w:p>
      <w:r>
        <w:rPr>
          <w:b/>
        </w:rPr>
        <w:t xml:space="preserve">Quelle: </w:t>
      </w:r>
      <w:r>
        <w:t>https://mcp.opencaselaw.ch/entscheid/vs_gerichte_A1 21 34</w:t>
      </w:r>
    </w:p>
    <w:p>
      <w:r>
        <w:t>FR: VS_GERICHTE A1 21 34 du 8 juillet 2021</w:t>
      </w:r>
    </w:p>
    <w:p>
      <w:r>
        <w:t>IT: VS_GERICHTE A1 21 34 del 8 luglio 2021</w:t>
      </w:r>
    </w:p>
    <w:p>
      <w:pPr>
        <w:pStyle w:val="Heading2"/>
      </w:pPr>
      <w:r>
        <w:t>Regeste</w:t>
      </w:r>
    </w:p>
    <w:p>
      <w:r>
        <w:t>A1 21 34 URTEIL VOM 8. JULI 2021 Kantonsgericht Wallis Öffentlichrechtliche Abteilung Es wirken mit: Christophe Joris, Präsident, Jean-Bernard Fournier und Thomas Brunner, Richter, sowie Vanessa Brigger, Gerichtsschreiberin, in Sachen EINWOHNERGEMEINDE A _________, Beschwerdeführerin, gegen STAATSRAT DES KANTONS WALLIS, 1950 Sitten, Vorinstanz, (Diverses) Verwaltungsgerichtsbeschwerde gegen den Entscheid vom 13. Januar 2021.</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w:t>
      </w:r>
    </w:p>
    <w:p>
      <w:r>
        <w:rPr>
          <w:b/>
        </w:rPr>
        <w:t>E. 1.1</w:t>
      </w:r>
    </w:p>
    <w:p>
      <w:r>
        <w:t>Gemeinden und Gemeindeverbände sind zur Beschwerde an das Kantonsgericht berechtigt, wenn sie durch eine Verfügung berührt sind und ein schutzwürdiges Interesse an deren Aufhebung oder Abänderung haben (Art. 156 Abs. 1 des Gemeindegesetzes vom 5. Februar 2004 [GemG; SGS/VS 175.1]; Art. 80 Abs. 1 lit. a i.V.m. Art. 44 Abs. 1 lit. a VVRG; Urteile des Kantonsgerichts A1 20 33 vom 15. September 2020 E. 1.1 und A1 14 158 vom 6. Februar 2015 E. 1.1). Gemeinden und Gemeindeverbände sind auch ohne eine solche Beeinträchtigung zur Verwaltungsgerichtsbeschwerde legitimiert, wenn das Gesetz sie hierzu ermächtigt (Art. 80 Abs. 1 lit. a i.V.m. 44 Abs. 1 lit. b VVRG;</w:t>
      </w:r>
    </w:p>
    <w:p>
      <w:r>
        <w:t>- 6 - Ulrich Häfelin/Georg Müller/Felix Uhlmann, Allgemeines Verwaltungsrecht, 8. A., 2020, N. 1157). Nach der Rechtsprechung kann ein Gemeinwesen auch zur Beschwerde legi- timiert sein, wenn es durch den angefochtenen Entscheid in seinen hoheitlichen Befug- nissen und öffentlichen Anliegen berührt wird (BGE 140 I 90 E. 1.1; 135 I 43 E. 1.2;). Zudem können gemäss Art. 156 Abs. 2 GemG Erlasse und Entscheide der Aufsichtsbe- hörde, welche die Gemeindeautonomie verletzen, mit Beschwerde an das Kantonsge- richt angefochten werden.</w:t>
      </w:r>
    </w:p>
    <w:p>
      <w:r>
        <w:rPr>
          <w:b/>
        </w:rPr>
        <w:t>E. 1.2</w:t>
      </w:r>
    </w:p>
    <w:p>
      <w:r>
        <w:t>Mit dem Entscheid vom 13. Januar 2021 hat der Staatsrat die Beschwerde der Ge- meinde abgewiesen. Als Adressatin des für die Gemeinde negativ ausfallenden Staats- ratsentscheids und in einer ihrer Kernaufgaben (vgl. Art. 6 lit. f GemG) ist sie folglich durch diesen berührt und hat ein schutzwürdiges Interesse an dessen Änderung oder Aufhebung, so dass sie gemäss Art. 80 Abs. 1 lit. a i.V.m. Art. 44 Abs. 1 lit. a VVRG zur Beschwerdeführung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Das Kantonsgericht hat die von der Beschwerdeführerin eingereichten Dokumente zu den Akten genommen. Der Staatsrat hat am 10. März 2021 das Aktendossier des Verwaltungsbeschwerdeverfahrens eingereicht. Die vorhandenen Akten enthalten mit- hin die entscheidrelevanten Sachverhaltselemente und genügen, wie die nachfolgenden Erwägungen zeigen, zur Beurteilung der rechtserheblichen Fragen. Deshalb wird in an- tizipierter Beweiswürdigung auf zusätzliche Beweisabnahmen verzichtet.</w:t>
      </w:r>
    </w:p>
    <w:p>
      <w:r>
        <w:rPr>
          <w:b/>
        </w:rPr>
        <w:t>E. 4</w:t>
      </w:r>
    </w:p>
    <w:p>
      <w:r>
        <w:t>Streitig und zu prüfen ist, ob die Vorinstanz die Ablehnung des KAF um Subventio- nierung des Vorführtanklöschfahrzeugs der Gemeinde zu Recht bestätigt hat.</w:t>
      </w:r>
    </w:p>
    <w:p>
      <w:r>
        <w:rPr>
          <w:b/>
        </w:rPr>
        <w:t>E. 4.1</w:t>
      </w:r>
    </w:p>
    <w:p>
      <w:r>
        <w:t>Der Kanton kann gestützt auf Art. 38 Abs. 1 des Gesetzes zum Schutz gegen Feuer und Naturelemente vom 18. November 1977 (GSFN; SGS/VS 540.1) den Gemeinden Beiträge für Materialanschaffungen und Einrichtungen zur Verhütung und Bekämpfung</w:t>
      </w:r>
    </w:p>
    <w:p>
      <w:r>
        <w:t>- 7 - von Bränden gewähren. Die Wahl des Materials und die geplanten Anlagen müssen vor- gängig von der Dienststelle genehmigt worden sein (Art. 38 Abs. 3 GSFN). Gemäss Art. 40 Abs. 1 des Reglements vom 12. Dezember 2001, welches die Ausführungsbestim- mungen zum Schutz gegen Feuer und Naturelemente festlegt (RSFN; SGS/VS 540.100), werden die Subventionen nur jenen Gemeinden gewährt, welche die Weisun- gen des Departements einhalten und deren Feuerwehrdienst den Anforderungen des Kantonalen Konzeptes entspricht. Zudem ist die Subventionsberechtigung an die Reg- lemente betreffend die Vergabe von subventionierten Arbeiten und an die vom Staat vorgeschriebenen Kontrollbestimmungen gebunden (Art. 40 Abs. 6 RSFN). Ergänzend zu den Bestimmungen des GSFN und RSFN kommt das kantonale Subventionsgesetz vom 13. November 1995 (SuG; SGS/VS 616.1) zur Anwendung (Art. 38a GSFN).</w:t>
      </w:r>
    </w:p>
    <w:p>
      <w:r>
        <w:rPr>
          <w:b/>
        </w:rPr>
        <w:t>E. 4.2</w:t>
      </w:r>
    </w:p>
    <w:p>
      <w:r>
        <w:t>Das SuG gilt grundsätzlich für sämtliche kantonalen Subventionen (Art. 3 SuG) und zielt darauf ab, eine einheitliche Rechtsgrundlage zu schaffen, die Subventionen nach gleichen Grundsätzen zu gewähren und die öffentlichen Gelder wirkungsorientiert und sparsam zu verwenden (Art. 1 lit. a und b SuG; vgl. Klaus A. Vallender/Peter Hettich/Jens Lehne, Wirtschaftsfreiheit und begrenzte Staatsverantwortung: Grundzüge des Wirt- schaftsverfassungs- und Wirtschaftsverwaltungsrechts, 4. A., 2006, S. 316 Rz. 79 mit Hinweisen). Gemäss Art. 4 Abs. 1 SuG sind Subventionen geldwerte Leistungen, die der Staat aufgrund des kantonalen öffentlichen Rechts zur Wahrung eines öffentlichen Inte- resses an Dritte leistet, ohne Anspruch auf direkte Gegenleistung. Finanzhilfen sind Teil der Leistungsverwaltung, bei welcher der Staat Unterstützung leis- tet, ohne dass der Subventionsempfänger aufgrund eines Rechtssatzes zu einer Verhal- tensweise verpflichtet wäre, während Abgeltungen Teil der Eingriffsverwaltung sind, da sie einen Ausgleich für einseitig vorgenommene Eingriffe in die Freiheitsrechte der Bür- ger bedeuten (vgl. Art. 6 SuG; Fabian Möller, Rechtsschutz bei Subventionen: Die Rechtsschutzmöglichkeiten Privater im Subventionsverfahren des Bundes unter Berück- sichtigung der neueren Entwicklungen des nationalen und internationalen Subventions- und Beihilferechts, Basel 2006, S. 24 ff. mit weiteren Hinweisen). Man unterscheidet zwischen direkten und indirekten Subventionen. Eine direkte Subvention liegt vor, wenn das Gemeinwesen eine positive Leistung erbringt. Um eine indirekte Subvention handelt es sich dagegen, wenn die Vergünstigung im Verzicht des Gemeinwesens auf eine ihm zustehende Einnahme besteht (Ulrich Häfelin/Georg Müller/Felix Uhlmann, a.a.O., N. 2526).</w:t>
      </w:r>
    </w:p>
    <w:p>
      <w:r>
        <w:t>- 8 - Gemäss Art. 6 Abs. 1 SuG besteht ein Rechtsanspruch auf Abgeltungen, wenn der Ge- suchsteller die erforderlichen Voraussetzungen erfüllt, während auf Finanzhilfen grund- sätzlich kein Rechtsanspruch besteht, ausser für die in der Spezialgesetzgebung vorge- sehenen Fälle (Abs. 2).</w:t>
      </w:r>
    </w:p>
    <w:p>
      <w:r>
        <w:rPr>
          <w:b/>
        </w:rPr>
        <w:t>E. 4.3</w:t>
      </w:r>
    </w:p>
    <w:p>
      <w:r>
        <w:t>Nach der bundesgerichtlichen Rechtsprechung ist ein Anspruch auf einen Beitrag zu bejahen, wenn das Recht selber die Bedingungen umschreibt, unter welchen Leis- tungen zu gewähren sind, ohne dass es im Ermessen der gesetzesanwendenden Be- hörde läge, ob sie einen Beitrag gewähren will oder nicht (BGE 138 II 191 E. 4.2.4 und 118 V 16 E. 3a mit Hinweisen). Beiträge, deren Ausrichtung im Ermessen der Behörden liegen, werden in Lehre und Rechtsprechung auch Ermessenssubventionen – als Ge- genteil zu Anspruchssubventionen – genannt. Liegt eine Ermessenssubvention vor, be- steht kein Anspruch auf Subventionen (Urteil des Bundesverwaltungsgerichts B-2184/2017 vom 7. Februar 2018 E. 4.3.1; vgl. Barbara Schaerer, Subventionen des Bundes, 1. A. 1992, S. 173 ff. und 201-202). Der Dienststelle wird durch das eingeräumte Ermessen ein Spielraum für den Entscheid im Einzelfall eingeräumt. Dies bedeutet aber nicht, dass die Behörde in ihrer Entschei- dung völlig frei ist, sondern sie hat innerhalb ihres Entscheidungsspielraums die zweck- mässigste Lösung zu treffen. Dabei hat sie das Ermessen pflichtgemäss auszuüben, das heisst, der Entscheid hat rechtmässig und angemessen zu sein. Die Dienststelle und der Staatsrat sind dabei insbesondere an die allgemeinen Verfassungsgrundsätze – wie das Willkürverbot, das Verhältnismässigkeitsprinzip und die Pflicht zur Wahrung des öffent- lichen Interesses – gebunden. Besondere Bedeutung kommt sodann dem Gleichbe- handlungsgebot zu. Das Gericht hat den beschriebenen Ermessensspielraum zu res- pektieren und nicht sein Ermessen an die Stelle desjenigen der Vorinstanz zu setzen (vgl. Urteile des Bundesverwaltungsgerichts A-2600/2020 vom 16. Februar 2021, A- 6830/2017 vom 15. Januar 2019 E. 7.3 mit Hinweisen):</w:t>
      </w:r>
    </w:p>
    <w:p>
      <w:r>
        <w:rPr>
          <w:b/>
        </w:rPr>
        <w:t>E. 4.4</w:t>
      </w:r>
    </w:p>
    <w:p>
      <w:r>
        <w:t>Zur Abweisung des Subventionsgesuches der Beschwerdeführerin machte die Dienststelle geltend, das Fahrzeug sei ohne jegliche staatliche Subventionszusicherung angeschafft worden. Und der Staatsrat hielt fest, dass es unverständlich sei, dass die Gemeinde das KAF vor dem Erwerb nicht erneut kontaktiert habe. Das Gesuch vom 14. August 2017 ist retourniert worden, da ein neues Fahrzeugkonzept ausgearbeitet wor- den ist. Dieses Konzept ist als Verwaltungsverordnung zu qualifizieren. Verwaltungsver- ordnungen sind Meinungsäusserungen der Verwaltung über die Auslegung der anwend- baren Gesetzesbestimmungen. Sie dienen der einheitlichen und rechtsgleichen Verwal-</w:t>
      </w:r>
    </w:p>
    <w:p>
      <w:r>
        <w:t>- 9 - tungspraxis, insbesondere im Ermessensbereich. Für Private sind Verwaltungsverord- nungen insofern von rechtlicher Bedeutung, als diese nach Art. 8 BV einen Anspruch auf Gleichbehandlung haben (vgl. Benjamin Schindler, in: Die schweizerische Bundesver- fassung, St. Galler Kommentar, 3. Aufl. 2014, zu Art. 5 BV N. 23; Urteil des Bundesver- waltungsgerichts B-3259/2018 vom 20. Juli 2020 E 7.2). Unabhängig von der Frage nach dem Vorliegen einer hinreichenden gesetzlichen Grundlage erscheint es sinnvoll und zweckmässig, dass die Modalitäten der Gesuchseinreichung im Rahmen einer für alle Gesuchstellenden rechtsgleich und einheitlich anwendbaren Weisung konkretisiert wer- den und auch Fristen vorgesehen sind. Die Fristen dienen dabei der Planungssicherheit und einer gerechten Verteilung der begrenzten Mittel.</w:t>
      </w:r>
    </w:p>
    <w:p>
      <w:r>
        <w:rPr>
          <w:b/>
        </w:rPr>
        <w:t>E. 4.5</w:t>
      </w:r>
    </w:p>
    <w:p>
      <w:r>
        <w:t>Die Vorinstanz stützt sich auf Art. 38 Abs. 3 GSFN, wonach die Wahl des Materials und die geplanten Anlagen vorgängig von der Dienststelle genehmigt werden müssen. Dabei handelt es sich nicht um eine Verwirkungs-, sondern um eine Ordnungsfrist. Ord- nungsfristen weisen den Charakter einer reinen Ordnungsvorschrift auf und sollen den geordneten Verfahrensgang gewährleisten, sind aber nicht mit Verwirkungsfolgen ver- bunden. Die Verfahrenshandlung kann auch noch nach Fristablauf vorgenommen wer- den, soweit und solange der geordnete Verfahrensgang dies nicht ausschliesst. Behörd- lich oder richterlich angeordnete Fristen haben nur dann den Charakter einer Verwir- kungsfrist, wenn sie als solche angesetzt wurden und zugleich auf die Säumnisfolge aufmerksam gemacht wurde (vgl. Urteile des Bundesverwaltungsgerichts A-2569/2020 vom 12. April 2021 E. 4.4.2 und B-4003/2014 vom 24. Juni 2015 E. 4.2). Dies wurde von der Vorinstanz vorliegend nicht vorgenommen.</w:t>
      </w:r>
    </w:p>
    <w:p>
      <w:r>
        <w:rPr>
          <w:b/>
        </w:rPr>
        <w:t>E. 4.6</w:t>
      </w:r>
    </w:p>
    <w:p>
      <w:r>
        <w:t>Insofern dies mit einem geordneten Verfahrensgang vereinbar ist, sind demnach auch verspätet eingereichte Gesuche zu berücksichtigen, insbesondere dann, wenn hin- reichende Gründe für die Verspätung vorliegen und die Grundsätze eines fairen und rechtsgleichen Verfahrens gewährleistet bleiben.</w:t>
      </w:r>
    </w:p>
    <w:p>
      <w:r>
        <w:rPr>
          <w:b/>
        </w:rPr>
        <w:t>E. 4.6.1</w:t>
      </w:r>
    </w:p>
    <w:p>
      <w:r>
        <w:t>Im vorliegend zu beurteilenden Einzelfall sind diese Umstände aus den folgenden Gründen gegeben: Die Gesuchstellung zum Erhalt der in Frage stehenden Subvention wurde von der Gemeinde bereits am 14. August 2017 eingereicht. Der Gemeinde war wohl bekannt, dass Subventionsgesuche an Fristen gebunden sind. Die Dienststelle teilte dann aber am 31. August 2017 mit, dass ein Gesuch erst wieder einzureichen sei, sobald das neue Fahrzeugkonzept in Kraft sei. Aus den Akten geht sodann hervor, dass das Versäumnis der Einreichung des Subventionsgesuches vor dem Erwerb in erster Linie auf diesen Hinweis der Dienststelle zurückzuführen ist und nicht etwa, weil die Ge- meinde die rechtzeitige Gesuchseinreichung verpasste. Nachdem die Dienststelle am 1.</w:t>
      </w:r>
    </w:p>
    <w:p>
      <w:r>
        <w:t>- 10 - Juli 2019 die Gemeinde auf das neue Konzept aufmerksam gemacht hatte, reichte die Gemeinde in der Folge ohne Verzögerung am 8. Juli 2019 das neue Subventionsgesuch ein. Es fragt sich, ob diesbezüglich die Eingabe vom 14. August 2017 bereits als Gesuch im formellen Sinne anzusehen ist. Auf jeden Fall ist die neue Eingabe hinreichend er- klärbar. Es ergibt sich daher, dass einerseits die Dienststelle die Gemeinde rechtzeitig zur Gesuchseinreichung/-erneuerung hätte auffordern müssen, oder ist unter den dar- gelegten Umständen von einer Verletzung des Vertrauensgrundsatzes auszugehen. Die Verantwortung für die fristgerechte Einreichung des Gesuchs liegt vorliegend bei der Dienststelle (vgl. Urteil des Bundesverwaltungsgerichts A-6841/2018 vom 5. März 2020 E. 5.1).</w:t>
      </w:r>
    </w:p>
    <w:p>
      <w:r>
        <w:rPr>
          <w:b/>
        </w:rPr>
        <w:t>E. 4.6.2</w:t>
      </w:r>
    </w:p>
    <w:p>
      <w:r>
        <w:t>Nach dem Gesagten handelt es sich bei der Gesuchsfrist bloss um eine Ord- nungsfrist. Das Gesuch der Gemeinde kann aufgrund der gesamten Umstände vorlie- gend nicht als verspätet angesehen werden. Eine Verweigerung einer Subventionierung ist deshalb nicht gerechtfertigt. Die Dienststelle hat demnach zu Unrecht das Gesuch für die Subventionierung des Vorführfahrzeuges nicht berücksichtigt.</w:t>
      </w:r>
    </w:p>
    <w:p>
      <w:r>
        <w:rPr>
          <w:b/>
        </w:rPr>
        <w:t>E. 5</w:t>
      </w:r>
    </w:p>
    <w:p>
      <w:r>
        <w:t>Schliesslich machte die Vorinstanz geltend, dass die Bedingungen des freihändigen Verfahrens im Sinne von Art. 13 Abs. 1 lit. j kGIVöB nicht gegeben seien und das Fahr- zeug auf dem Weg des offenen Verfahrens hätte beschafft werden müssen. Hierzu legte die Gemeinde in der Verwaltungsgerichtsbeschwerde dar, dass vor dem Erwerb beim Rechtsdienst für Wirtschaftsangelegenheiten eine Grundsatzabklärung für ein Vorführ- fahrzeug gemacht worden sei. Auf Grund der aktualisierten Offerte sei das Vorführfahr- zeug zum Betrag von Fr. 350 400.-- (exkl. MwSt.) angeschafft worden. Dies ergebe zum effektiven Preis von Fr. 438 000.-- (exkl. MwSt.) einen Preisnachlass von Fr. 88 000.--, was einer Differenz von 20.1 % entspreche. Dementsprechend seien die Voraussetzun- gen von Art. 13 Abs. 1 lit. j kGIVöB erfüllt.</w:t>
      </w:r>
    </w:p>
    <w:p>
      <w:r>
        <w:rPr>
          <w:b/>
        </w:rPr>
        <w:t>E. 5.1</w:t>
      </w:r>
    </w:p>
    <w:p>
      <w:r>
        <w:t>Das freihändige Verfahren ist ein einfaches Verfahren, das grundsätzlich an keine Form gebunden ist. Die direkte Mitteilung an die Anbieter erfolgt formlos (z. B. telefo- nisch), Offerten werden nur teilweise schriftlich eingereicht und es werden keine Eig- nungs- und Zuschlagskriterien bekannt gegeben. Das freihändige Verfahren kommt ei- nerseits zur Anwendung, wenn die Schwellenwerte für das Einladungsverfahren nicht erreicht werden, und andererseits, wenn die Schwellenwerte für das Einladungsverfah- ren zwar erreicht werden, jedoch ein Ausnahmetatbestand erfüllt ist (vgl. Art. 13 kGIVöB). Die Ausnahmetatbestände sehen gewisse Gründe vor, bei welchen legitimer- weise auf den Wettbewerb verzichtet werden kann. Die Kontroverse zwischen den Ziel- setzungen des wirtschaftlichen Einsatzes der öffentlichen Mittel und der Stärkung des</w:t>
      </w:r>
    </w:p>
    <w:p>
      <w:r>
        <w:t>- 11 - Wettbewerbs wird bei Erfüllung der Ausnahmetatbestände zugunsten der Wirtschaftlich- keit gelöst (Ruth Aeschbacher Ruth/Rebekka Krebs, Handkommentar zum Schweizeri- schen Beschaffungsrecht, 2020, S. 292 ff., S. 295). Die Vergabebehörden haben sich aber auch im freihändigen Bereich an den Grundsätzen verfassungsmässigen Handelns zu orientieren wie dem Willkürverbot, dem Grundsatz von Treu und Glauben sowie dem Gebot der Gleichbehandlung und des fairen Verfahrens (vgl. hierzu Dominik Kuonen, Das Einladungsverfahren im öffentlichen Beschaffungsrecht, Diss 2005, S. 46 ff.). Im freihändigen Verfahren ist der Rechtsschutz auf die Frage nach der richtigen Verfah- renswahl beschränkt (Dominik Kuonen, a.a,O., S. 89 in fine). Der Zuschlag kann nicht angefochten werden (Art. 12 Abs. 2 GIVöB; vgl. Urteil des Bundesgerichts 2P.189/2004 vom 11. Februar 2005).</w:t>
      </w:r>
    </w:p>
    <w:p>
      <w:r>
        <w:rPr>
          <w:b/>
        </w:rPr>
        <w:t>E. 5.2</w:t>
      </w:r>
    </w:p>
    <w:p>
      <w:r>
        <w:t>Als Ausnahmetatbestand gilt nach Art. 13 Abs. 1 lit. j kGIVöB auch, wenn der Auf- traggeber Güter im Rahmen einer günstigen, zeitlich befristeten Gelegenheit zu einem Preis beschaffen kann, der erheblich unter den üblichen Preisen liegt. Diese Bestim- mung soll dort zur Anwendung kommen, wo offensichtlich das günstigste Angebot nicht im Rahmen eines Beschaffungsverfahrens ermittelt werden kann (hierzu und nachfol- gend Christoph Meyer, Freihändige Vergabe als Ausnahme von der Ausschreibungs- pflicht im öffentlichen Beschaffungsrecht, AJP 2005 S. 716 ff., S. 725). Auf Grund be- sonderer Umstände kann ausnahmsweise ein Anbieter zu ungewöhnlich günstigen Be- dingungen liefern, welche von den übrigen im Beschaffungsverfahren nicht geboten wer- den können. Aus zeitlichen oder anderen Gründen kann vom Anbieter in diesem beson- deren Fall jedoch nicht erwartet werden, dass er an einem Beschaffungsverfahren teil- nimmt.</w:t>
      </w:r>
    </w:p>
    <w:p>
      <w:r>
        <w:rPr>
          <w:b/>
        </w:rPr>
        <w:t>E. 5.3</w:t>
      </w:r>
    </w:p>
    <w:p>
      <w:r>
        <w:t>Lieferaufträge wie im vorliegenden Fall sind im offenen oder selektiven Verfahren zu vergeben, wenn der geschätzte Wert des Einzelauftrags den Schwellenwert über- steigt. Dieser Betrag wird vom zu beschaffenden Tanklöschfahrzeug, auch von einem Vorführfahrzeug, klar überschritten. In unserem Fall rechtfertigt sich aber der Erwerb im freihändigen Verfahren in zweifacher Hinsicht. Einerseits konnte sich die Gemeinde auf die Antwort des stellvertretenden Generalsekretärs des DVER vom 16. bzw. 26. Februar 2016 verlassen, dass ausnahmsweise eine freihändige Vergabe gemäss Art. 13 Abs. 1 lit. j kGIVöB; SGS/VS 726.1 angewendet werden könne, wenn «das Argument des Vor- führfahrzeuges in den Vordergrund» rücke und die Ersparnis mindestens 20 % betrage. Die Gemeinde konnte sich in der Folge auf diese Auskunft stützen. Die Gemeinde hatte bereits beim Subventionsantrag vom 14. August 2017 auf die Erschwernisse bei Repa- raturen am alten Fahrzeug und die nicht mehr vollumfänglich gewährleistete Sicherheit</w:t>
      </w:r>
    </w:p>
    <w:p>
      <w:r>
        <w:t>- 12 - aufmerksam gemacht. Anderseits ist ein Ausnahmetatbestand gegeben, der eine frei- händige Vergabe rechtfertigt. Insbesondere stellt der Entscheid für ein preisgünstigeres Vorführfahrzeug eine Ausnahme dar. Die Gemeinde hat schliesslich auf Grund der ak- tualisierten Offerte vom 29. Juli 2017 (Beilage 13) und des Kaufvertrages vom 7. Februar 2018 (Beilage 6) das neue Tanklöschfahrzeug schlussendlich als Vorführfahrzeug zum Betrag von Fr. 350 400.-- (exkl. MwSt.) angeschafft. Dies ergibt zum effektiven Preis von Fr. 438 000.-- (exkl. MwSt.) einen Preisnachlass von Fr. 88 000.--, was eine Differenz von 20 % ergibt, wie dies die Gemeinde darlegte. Dies entspricht denn auch der Erspar- nis, wie sie vom DVER verlangt wurde. Die Gemeinde hat sich somit letztlich richtiger- weise dafür entschieden, das Vorführfahrzeug in der freihändigen Vergabe zu erwerben. In diesem Sinne hat die Gemeinde das anzuwendende Verfahren und das bestehende Ermessen nicht überschritten.</w:t>
      </w:r>
    </w:p>
    <w:p>
      <w:r>
        <w:rPr>
          <w:b/>
        </w:rPr>
        <w:t>E. 6</w:t>
      </w:r>
    </w:p>
    <w:p>
      <w:r>
        <w:t>Nach dem Gesagten wird die Beschwerde gutgeheissen und der angefochtene Ent- scheid des Staatsrats vom 13. Januar 2021 wird aufgehoben. Der Subventionsantrag der Gemeinde für das Vorführtanklöschfahrzeug wird gutzuheissen und das Dossier wird zurückgewiesen an das KAF, um über die Höhe der Subvention zu entscheiden.</w:t>
      </w:r>
    </w:p>
    <w:p>
      <w:r>
        <w:rPr>
          <w:b/>
        </w:rPr>
        <w:t>E. 6.1</w:t>
      </w:r>
    </w:p>
    <w:p>
      <w:r>
        <w:t>Im Beschwerdeverfahren hat in der Regel die unterliegende Partei die Kosten zu tragen (Art. 89 Abs. 1 VVRG). Ausnahmsweise können die Kosten ganz oder teilweise erlassen werden (Art. 89 Abs. 2 VVRG). Den Behörden des Bundes, des Kantons und den Gemeinden, die in ihrem amtlichen Wirkungskreis und ohne dass es sich um ihr Vermögensinteresse handelt, als Parteien oder Vorinstanzen in einem Verfahren auftre- ten, werden in der Regel keine Kosten auferlegt (Art. 89 Abs. 4 VVRG). Vorliegend wird daher keine Gerichtsgebühr erhoben.</w:t>
      </w:r>
    </w:p>
    <w:p>
      <w:r>
        <w:rPr>
          <w:b/>
        </w:rPr>
        <w:t>E. 6.2</w:t>
      </w:r>
    </w:p>
    <w:p>
      <w:r>
        <w:t>Die unterliegende Partei hat keinen Anspruch auf eine Parteientschädigung (Art. 91 Abs. 1 VVRG e contrario), weshalb vorliegend von einer solchen abzusehen ist. Den Behörden oder mit öffentlichen Aufgaben betrauten Organisationen, welche obsiegen, darf in der Regel keine Parteientschädigung zugesprochen werden (Art. 91 Abs. 3 VVRG).</w:t>
      </w:r>
    </w:p>
    <w:p>
      <w:r>
        <w:t>- 13 - Demnach erkennt das Kantonsgericht:</w:t>
      </w:r>
    </w:p>
    <w:p>
      <w:r>
        <w:t>1. Die Beschwerde wird gutgeheissen und der angefochtene Entscheid des Staatsrats vom 13. Januar 2021 wird aufgehoben. 2. Es wird keine Gerichtsgebühr erhoben und keine Parteientschädigung zugespro- chen. 3. Das Urteil wird der Beschwerdeführerin und dem Staatsrat des Kantons Wallis schriftlich mitgeteilt.</w:t>
      </w:r>
    </w:p>
    <w:p>
      <w:r>
        <w:t>Sitten, 8. Juli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